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4E" w:rsidRDefault="00027B85" w:rsidP="00C4600B">
      <w:pPr>
        <w:jc w:val="center"/>
        <w:rPr>
          <w:rFonts w:ascii="Arial Black" w:hAnsi="Arial Black"/>
          <w:b/>
          <w:bCs/>
          <w:sz w:val="28"/>
          <w:lang w:val="en-GB"/>
        </w:rPr>
      </w:pPr>
      <w:r>
        <w:rPr>
          <w:rFonts w:ascii="Arial Black" w:hAnsi="Arial Black"/>
          <w:b/>
          <w:bCs/>
          <w:sz w:val="28"/>
          <w:lang w:val="en-GB"/>
        </w:rPr>
        <w:t xml:space="preserve">Efficacy of </w:t>
      </w:r>
      <w:bookmarkStart w:id="0" w:name="_GoBack"/>
      <w:bookmarkEnd w:id="0"/>
      <w:r w:rsidR="00AE504E" w:rsidRPr="00AE504E">
        <w:rPr>
          <w:rFonts w:ascii="Arial Black" w:hAnsi="Arial Black"/>
          <w:b/>
          <w:bCs/>
          <w:sz w:val="28"/>
          <w:lang w:val="en-GB"/>
        </w:rPr>
        <w:t>Transcutaneous Temperature Controlled Radiofrequency for Overactive Bladder</w:t>
      </w:r>
    </w:p>
    <w:p w:rsidR="00AE504E" w:rsidRDefault="00AE504E" w:rsidP="00AE504E">
      <w:pPr>
        <w:rPr>
          <w:rFonts w:ascii="Times New Roman" w:hAnsi="Times New Roman" w:cs="Times New Roman"/>
          <w:bCs/>
          <w:sz w:val="24"/>
          <w:vertAlign w:val="superscript"/>
          <w:lang w:val="en-GB"/>
        </w:rPr>
      </w:pPr>
      <w:r w:rsidRPr="00727498">
        <w:rPr>
          <w:rFonts w:ascii="Times New Roman" w:hAnsi="Times New Roman" w:cs="Times New Roman"/>
          <w:b/>
          <w:bCs/>
          <w:sz w:val="24"/>
          <w:lang w:val="en-GB"/>
        </w:rPr>
        <w:t>Smit Bharat Solanki</w:t>
      </w:r>
      <w:r w:rsidRPr="00AE504E">
        <w:rPr>
          <w:rFonts w:ascii="Times New Roman" w:hAnsi="Times New Roman" w:cs="Times New Roman"/>
          <w:bCs/>
          <w:sz w:val="24"/>
          <w:vertAlign w:val="superscript"/>
          <w:lang w:val="en-GB"/>
        </w:rPr>
        <w:t>1</w:t>
      </w:r>
      <w:r w:rsidRPr="00AE504E">
        <w:rPr>
          <w:rFonts w:ascii="Times New Roman" w:hAnsi="Times New Roman" w:cs="Times New Roman"/>
          <w:bCs/>
          <w:sz w:val="24"/>
          <w:lang w:val="en-GB"/>
        </w:rPr>
        <w:t>, Vineet Mishra</w:t>
      </w:r>
      <w:r w:rsidRPr="00AE504E">
        <w:rPr>
          <w:rFonts w:ascii="Times New Roman" w:hAnsi="Times New Roman" w:cs="Times New Roman"/>
          <w:bCs/>
          <w:sz w:val="24"/>
          <w:vertAlign w:val="superscript"/>
          <w:lang w:val="en-GB"/>
        </w:rPr>
        <w:t>1</w:t>
      </w:r>
      <w:r w:rsidRPr="00AE504E">
        <w:rPr>
          <w:rFonts w:ascii="Times New Roman" w:hAnsi="Times New Roman" w:cs="Times New Roman"/>
          <w:bCs/>
          <w:sz w:val="24"/>
          <w:lang w:val="en-GB"/>
        </w:rPr>
        <w:t>, Red Alinsod</w:t>
      </w:r>
      <w:r w:rsidRPr="00AE504E">
        <w:rPr>
          <w:rFonts w:ascii="Times New Roman" w:hAnsi="Times New Roman" w:cs="Times New Roman"/>
          <w:bCs/>
          <w:sz w:val="24"/>
          <w:vertAlign w:val="superscript"/>
          <w:lang w:val="en-GB"/>
        </w:rPr>
        <w:t>2</w:t>
      </w:r>
    </w:p>
    <w:p w:rsidR="00AE504E" w:rsidRDefault="00AE504E" w:rsidP="00AE504E">
      <w:pPr>
        <w:rPr>
          <w:rFonts w:ascii="Times New Roman" w:hAnsi="Times New Roman" w:cs="Times New Roman"/>
          <w:bCs/>
          <w:sz w:val="24"/>
          <w:lang w:val="en-GB"/>
        </w:rPr>
      </w:pPr>
      <w:r w:rsidRPr="00AE504E">
        <w:rPr>
          <w:rFonts w:ascii="Times New Roman" w:hAnsi="Times New Roman" w:cs="Times New Roman"/>
          <w:bCs/>
          <w:sz w:val="24"/>
          <w:vertAlign w:val="superscript"/>
          <w:lang w:val="en-GB"/>
        </w:rPr>
        <w:t>1</w:t>
      </w:r>
      <w:r>
        <w:rPr>
          <w:rFonts w:ascii="Times New Roman" w:hAnsi="Times New Roman" w:cs="Times New Roman"/>
          <w:bCs/>
          <w:sz w:val="24"/>
          <w:lang w:val="en-GB"/>
        </w:rPr>
        <w:t xml:space="preserve"> Obstetrics and gynecology department, Institute of kidney disease and research centre, Ahmedabad, Gujarat, India</w:t>
      </w:r>
    </w:p>
    <w:p w:rsidR="00AE504E" w:rsidRDefault="00AE504E" w:rsidP="00AE504E">
      <w:pPr>
        <w:rPr>
          <w:rFonts w:ascii="Times New Roman" w:hAnsi="Times New Roman" w:cs="Times New Roman"/>
          <w:bCs/>
          <w:sz w:val="24"/>
          <w:lang w:val="en-GB"/>
        </w:rPr>
      </w:pPr>
      <w:r w:rsidRPr="00AE504E">
        <w:rPr>
          <w:rFonts w:ascii="Times New Roman" w:hAnsi="Times New Roman" w:cs="Times New Roman"/>
          <w:bCs/>
          <w:sz w:val="24"/>
          <w:vertAlign w:val="superscript"/>
          <w:lang w:val="en-GB"/>
        </w:rPr>
        <w:t xml:space="preserve">2 </w:t>
      </w:r>
      <w:r w:rsidRPr="00AE504E">
        <w:rPr>
          <w:rFonts w:ascii="Times New Roman" w:hAnsi="Times New Roman" w:cs="Times New Roman"/>
          <w:bCs/>
          <w:sz w:val="24"/>
          <w:lang w:val="en-GB"/>
        </w:rPr>
        <w:t>Alinsod Institute for Aesthetic Vulvovaginal Surgery, South Coast Urogynecology, Inc. 31852 Coast Highway, Suite 203, Laguna Beach, CA 92651, USA</w:t>
      </w:r>
    </w:p>
    <w:p w:rsidR="00727498" w:rsidRDefault="00727498" w:rsidP="00E01329">
      <w:pPr>
        <w:rPr>
          <w:rFonts w:ascii="Times New Roman" w:hAnsi="Times New Roman" w:cs="Times New Roman"/>
          <w:bCs/>
          <w:sz w:val="24"/>
          <w:lang w:val="en-GB"/>
        </w:rPr>
      </w:pPr>
      <w:r w:rsidRPr="00AE504E">
        <w:rPr>
          <w:rFonts w:ascii="Times New Roman" w:hAnsi="Times New Roman" w:cs="Times New Roman"/>
          <w:b/>
          <w:bCs/>
          <w:color w:val="1C1D1E"/>
          <w:sz w:val="24"/>
          <w:szCs w:val="24"/>
        </w:rPr>
        <w:t>Corresponding Author</w:t>
      </w:r>
      <w:r w:rsidRPr="00AE504E">
        <w:rPr>
          <w:rFonts w:ascii="Times New Roman" w:hAnsi="Times New Roman" w:cs="Times New Roman"/>
          <w:color w:val="1C1D1E"/>
          <w:sz w:val="24"/>
          <w:szCs w:val="24"/>
        </w:rPr>
        <w:t xml:space="preserve">: </w:t>
      </w:r>
      <w:r w:rsidRPr="00727498">
        <w:rPr>
          <w:rFonts w:ascii="Times New Roman" w:hAnsi="Times New Roman" w:cs="Times New Roman"/>
          <w:bCs/>
          <w:sz w:val="24"/>
          <w:lang w:val="en-GB"/>
        </w:rPr>
        <w:t>Dr. Vineet Mishra,</w:t>
      </w:r>
      <w:r w:rsidRPr="00AE504E">
        <w:rPr>
          <w:rFonts w:ascii="Times New Roman" w:hAnsi="Times New Roman" w:cs="Times New Roman"/>
          <w:color w:val="1C1D1E"/>
          <w:sz w:val="24"/>
          <w:szCs w:val="24"/>
        </w:rPr>
        <w:t xml:space="preserve"> </w:t>
      </w:r>
      <w:r>
        <w:rPr>
          <w:rFonts w:ascii="Times New Roman" w:hAnsi="Times New Roman" w:cs="Times New Roman"/>
          <w:bCs/>
          <w:sz w:val="24"/>
          <w:lang w:val="en-GB"/>
        </w:rPr>
        <w:t>Obstetrics and gynecology department, Institute of kidney disease and research centre, Ahmedabad, Gujarat, India</w:t>
      </w:r>
    </w:p>
    <w:p w:rsidR="00AE504E" w:rsidRPr="00AE504E" w:rsidRDefault="00AE504E" w:rsidP="00E01329">
      <w:pPr>
        <w:pStyle w:val="NormalWeb"/>
        <w:shd w:val="clear" w:color="auto" w:fill="FFFFFF"/>
        <w:spacing w:after="240" w:afterAutospacing="0"/>
        <w:jc w:val="both"/>
        <w:rPr>
          <w:color w:val="1C1D1E"/>
        </w:rPr>
      </w:pPr>
      <w:r w:rsidRPr="00AE504E">
        <w:rPr>
          <w:b/>
          <w:bCs/>
          <w:color w:val="1C1D1E"/>
        </w:rPr>
        <w:t>Objectives</w:t>
      </w:r>
      <w:r w:rsidRPr="00AE504E">
        <w:rPr>
          <w:color w:val="1C1D1E"/>
        </w:rPr>
        <w:t xml:space="preserve">: </w:t>
      </w:r>
      <w:r w:rsidRPr="00AE504E">
        <w:rPr>
          <w:color w:val="1C1D1E"/>
          <w:lang w:val="en-US"/>
        </w:rPr>
        <w:t xml:space="preserve">To evaluate the safety, tolerability, and clinical efficacy of transcutaneous temperature controlled radiofrequency (TTCRF) on anterior vaginal tissue for overactive bladder. </w:t>
      </w:r>
    </w:p>
    <w:p w:rsidR="00AE504E" w:rsidRPr="00AE504E" w:rsidRDefault="00AE504E" w:rsidP="00E01329">
      <w:pPr>
        <w:pStyle w:val="NormalWeb"/>
        <w:shd w:val="clear" w:color="auto" w:fill="FFFFFF"/>
        <w:spacing w:after="240"/>
        <w:jc w:val="both"/>
        <w:rPr>
          <w:color w:val="1C1D1E"/>
        </w:rPr>
      </w:pPr>
      <w:r w:rsidRPr="00AE504E">
        <w:rPr>
          <w:b/>
          <w:bCs/>
          <w:color w:val="1C1D1E"/>
        </w:rPr>
        <w:t>Methods</w:t>
      </w:r>
      <w:r w:rsidRPr="00AE504E">
        <w:rPr>
          <w:color w:val="1C1D1E"/>
        </w:rPr>
        <w:t xml:space="preserve">: </w:t>
      </w:r>
      <w:r>
        <w:rPr>
          <w:color w:val="1C1D1E"/>
          <w:lang w:val="en-US"/>
        </w:rPr>
        <w:t>120</w:t>
      </w:r>
      <w:r w:rsidR="00456606" w:rsidRPr="00AE504E">
        <w:rPr>
          <w:color w:val="1C1D1E"/>
          <w:lang w:val="en-US"/>
        </w:rPr>
        <w:t xml:space="preserve"> women, ages 21-85, with overactive bladder included in the study</w:t>
      </w:r>
      <w:r>
        <w:rPr>
          <w:color w:val="1C1D1E"/>
        </w:rPr>
        <w:t xml:space="preserve">. </w:t>
      </w:r>
      <w:r w:rsidR="00456606" w:rsidRPr="00AE504E">
        <w:rPr>
          <w:color w:val="1C1D1E"/>
          <w:lang w:val="en-US"/>
        </w:rPr>
        <w:t>Each patient received 3 sessions at intervals of about 1 month.</w:t>
      </w:r>
      <w:r>
        <w:rPr>
          <w:color w:val="1C1D1E"/>
          <w:lang w:val="en-US"/>
        </w:rPr>
        <w:t xml:space="preserve"> </w:t>
      </w:r>
      <w:r w:rsidR="00456606" w:rsidRPr="00AE504E">
        <w:rPr>
          <w:color w:val="1C1D1E"/>
          <w:lang w:val="en-US"/>
        </w:rPr>
        <w:t xml:space="preserve">Treatment was performed using a slim S-shaped probe with a stamp-sized metal radiofrequency emitter on one surface of the tip (10 minutes total time on average). Full length treatment of the anterior vagina with concentration on the pubocervical fascia was performed. Tissue temperature during therapy was elevated to and maintained between 40 degrees C and 45 degrees C. No anesthesia was required. </w:t>
      </w:r>
      <w:r w:rsidRPr="00AE504E">
        <w:rPr>
          <w:color w:val="1C1D1E"/>
          <w:lang w:val="en-US"/>
        </w:rPr>
        <w:t>After treatment patients immediately resumed normal routines, including exercise and sexual activities</w:t>
      </w:r>
      <w:r w:rsidRPr="00AE504E">
        <w:rPr>
          <w:color w:val="1C1D1E"/>
        </w:rPr>
        <w:t>.</w:t>
      </w:r>
    </w:p>
    <w:p w:rsidR="00727498" w:rsidRDefault="00AE504E" w:rsidP="00E01329">
      <w:pPr>
        <w:pStyle w:val="NormalWeb"/>
        <w:shd w:val="clear" w:color="auto" w:fill="FFFFFF"/>
        <w:spacing w:after="240"/>
        <w:jc w:val="both"/>
        <w:rPr>
          <w:color w:val="1C1D1E"/>
          <w:lang w:val="en-US"/>
        </w:rPr>
      </w:pPr>
      <w:r w:rsidRPr="00AE504E">
        <w:rPr>
          <w:b/>
          <w:bCs/>
          <w:color w:val="1C1D1E"/>
        </w:rPr>
        <w:t>Results</w:t>
      </w:r>
      <w:r w:rsidRPr="00AE504E">
        <w:rPr>
          <w:color w:val="1C1D1E"/>
        </w:rPr>
        <w:t xml:space="preserve">: </w:t>
      </w:r>
      <w:r w:rsidR="00727498">
        <w:rPr>
          <w:color w:val="1C1D1E"/>
          <w:lang w:val="en-US"/>
        </w:rPr>
        <w:t>109/120 (91</w:t>
      </w:r>
      <w:r w:rsidR="00456606" w:rsidRPr="00AE504E">
        <w:rPr>
          <w:color w:val="1C1D1E"/>
          <w:lang w:val="en-US"/>
        </w:rPr>
        <w:t xml:space="preserve">%) patients overactive bladder without incontinence reported a reduction of OAB symptoms by at least one third, 33%. </w:t>
      </w:r>
      <w:r w:rsidR="00727498">
        <w:rPr>
          <w:color w:val="1C1D1E"/>
          <w:lang w:val="en-US"/>
        </w:rPr>
        <w:t>55/120</w:t>
      </w:r>
      <w:r w:rsidR="00456606" w:rsidRPr="00AE504E">
        <w:rPr>
          <w:color w:val="1C1D1E"/>
          <w:lang w:val="en-US"/>
        </w:rPr>
        <w:t xml:space="preserve"> (</w:t>
      </w:r>
      <w:r w:rsidR="00727498">
        <w:rPr>
          <w:color w:val="1C1D1E"/>
          <w:lang w:val="en-US"/>
        </w:rPr>
        <w:t>46</w:t>
      </w:r>
      <w:r w:rsidR="00456606" w:rsidRPr="00AE504E">
        <w:rPr>
          <w:color w:val="1C1D1E"/>
          <w:lang w:val="en-US"/>
        </w:rPr>
        <w:t xml:space="preserve">%) patients with overactive bladder without incontinence reported a 50%+ reduction in OAB symptoms.  </w:t>
      </w:r>
      <w:r w:rsidR="00F03069">
        <w:rPr>
          <w:color w:val="1C1D1E"/>
          <w:lang w:val="en-US"/>
        </w:rPr>
        <w:t>Of these patients 39</w:t>
      </w:r>
      <w:r w:rsidR="00456606" w:rsidRPr="00AE504E">
        <w:rPr>
          <w:color w:val="1C1D1E"/>
          <w:lang w:val="en-US"/>
        </w:rPr>
        <w:t>/</w:t>
      </w:r>
      <w:r w:rsidR="00727498">
        <w:rPr>
          <w:color w:val="1C1D1E"/>
          <w:lang w:val="en-US"/>
        </w:rPr>
        <w:t>120</w:t>
      </w:r>
      <w:r w:rsidR="00F03069">
        <w:rPr>
          <w:color w:val="1C1D1E"/>
          <w:lang w:val="en-US"/>
        </w:rPr>
        <w:t xml:space="preserve"> (33</w:t>
      </w:r>
      <w:r w:rsidR="00456606" w:rsidRPr="00AE504E">
        <w:rPr>
          <w:color w:val="1C1D1E"/>
          <w:lang w:val="en-US"/>
        </w:rPr>
        <w:t xml:space="preserve">%) completely resolved their OAB symptoms.  </w:t>
      </w:r>
      <w:r w:rsidR="00727498">
        <w:rPr>
          <w:color w:val="1C1D1E"/>
          <w:lang w:val="en-US"/>
        </w:rPr>
        <w:t>14</w:t>
      </w:r>
      <w:r w:rsidR="00456606" w:rsidRPr="00AE504E">
        <w:rPr>
          <w:color w:val="1C1D1E"/>
          <w:lang w:val="en-US"/>
        </w:rPr>
        <w:t xml:space="preserve"> patient</w:t>
      </w:r>
      <w:r w:rsidR="00727498">
        <w:rPr>
          <w:color w:val="1C1D1E"/>
          <w:lang w:val="en-US"/>
        </w:rPr>
        <w:t>s</w:t>
      </w:r>
      <w:r w:rsidR="00456606" w:rsidRPr="00AE504E">
        <w:rPr>
          <w:color w:val="1C1D1E"/>
          <w:lang w:val="en-US"/>
        </w:rPr>
        <w:t xml:space="preserve"> (</w:t>
      </w:r>
      <w:r w:rsidR="00727498">
        <w:rPr>
          <w:color w:val="1C1D1E"/>
          <w:lang w:val="en-US"/>
        </w:rPr>
        <w:t>12</w:t>
      </w:r>
      <w:r w:rsidR="00456606" w:rsidRPr="00AE504E">
        <w:rPr>
          <w:color w:val="1C1D1E"/>
          <w:lang w:val="en-US"/>
        </w:rPr>
        <w:t xml:space="preserve">%) had more moderate symptoms reduction of 25% and less.  All </w:t>
      </w:r>
      <w:r w:rsidR="000B20A8">
        <w:rPr>
          <w:color w:val="1C1D1E"/>
          <w:lang w:val="en-US"/>
        </w:rPr>
        <w:t>14</w:t>
      </w:r>
      <w:r w:rsidR="00456606" w:rsidRPr="00AE504E">
        <w:rPr>
          <w:color w:val="1C1D1E"/>
          <w:lang w:val="en-US"/>
        </w:rPr>
        <w:t xml:space="preserve"> of these patients had overactive bladder with incontinence.  All patients noticed some reduction in OAB symptoms over baseline.  </w:t>
      </w:r>
      <w:r w:rsidRPr="00AE504E">
        <w:rPr>
          <w:color w:val="1C1D1E"/>
          <w:lang w:val="en-US"/>
        </w:rPr>
        <w:t>Results for nocturia were similar.</w:t>
      </w:r>
    </w:p>
    <w:p w:rsidR="00727498" w:rsidRPr="00727498" w:rsidRDefault="00AE504E" w:rsidP="00E01329">
      <w:pPr>
        <w:pStyle w:val="NormalWeb"/>
        <w:shd w:val="clear" w:color="auto" w:fill="FFFFFF"/>
        <w:spacing w:after="240"/>
        <w:jc w:val="both"/>
        <w:rPr>
          <w:color w:val="1C1D1E"/>
        </w:rPr>
      </w:pPr>
      <w:r w:rsidRPr="00AE504E">
        <w:rPr>
          <w:b/>
          <w:bCs/>
          <w:color w:val="1C1D1E"/>
        </w:rPr>
        <w:t>Conclusions</w:t>
      </w:r>
      <w:r w:rsidRPr="00AE504E">
        <w:rPr>
          <w:color w:val="1C1D1E"/>
        </w:rPr>
        <w:t xml:space="preserve">: </w:t>
      </w:r>
      <w:r w:rsidR="00727498" w:rsidRPr="00727498">
        <w:rPr>
          <w:color w:val="1C1D1E"/>
          <w:lang w:val="en-US"/>
        </w:rPr>
        <w:t xml:space="preserve">TTCRF is an effective non-pharmacologic, non-surgical option for women with overactive bladder symptoms. Treatment have a visible tightening effects on vaginal mucosa and also appears to increase local blood flow, resulting in increased vaginal tightness and moisture. Improvement of symptoms in overactive bladder without incontinence is more dramatic than with overactive bladder with incontinence. </w:t>
      </w:r>
    </w:p>
    <w:p w:rsidR="00AE504E" w:rsidRPr="00AE504E" w:rsidRDefault="00AE504E" w:rsidP="00AE504E">
      <w:pPr>
        <w:pStyle w:val="NormalWeb"/>
        <w:shd w:val="clear" w:color="auto" w:fill="FFFFFF"/>
        <w:spacing w:after="240" w:afterAutospacing="0"/>
        <w:rPr>
          <w:color w:val="1C1D1E"/>
        </w:rPr>
      </w:pPr>
      <w:r w:rsidRPr="00AE504E">
        <w:rPr>
          <w:b/>
          <w:bCs/>
          <w:color w:val="1C1D1E"/>
        </w:rPr>
        <w:t>References</w:t>
      </w:r>
    </w:p>
    <w:p w:rsidR="00727498" w:rsidRPr="00727498" w:rsidRDefault="003B66FB" w:rsidP="00E01329">
      <w:pPr>
        <w:pStyle w:val="NormalWeb"/>
        <w:shd w:val="clear" w:color="auto" w:fill="FFFFFF"/>
        <w:spacing w:after="240"/>
        <w:jc w:val="both"/>
        <w:rPr>
          <w:color w:val="1C1D1E"/>
          <w:sz w:val="20"/>
        </w:rPr>
      </w:pPr>
      <w:hyperlink r:id="rId7" w:history="1">
        <w:r w:rsidR="00727498" w:rsidRPr="00727498">
          <w:rPr>
            <w:rStyle w:val="Hyperlink"/>
            <w:sz w:val="20"/>
            <w:lang w:val="en-US"/>
          </w:rPr>
          <w:t>Mulholland RS</w:t>
        </w:r>
      </w:hyperlink>
      <w:r w:rsidR="00727498" w:rsidRPr="00727498">
        <w:rPr>
          <w:color w:val="1C1D1E"/>
          <w:sz w:val="20"/>
          <w:lang w:val="en-US"/>
        </w:rPr>
        <w:t>. Radio frequency energy for non-invasive and minimally invasive skin tightening. Clin Plast Surg 2011;38(3):437-48.</w:t>
      </w:r>
    </w:p>
    <w:p w:rsidR="00727498" w:rsidRPr="00727498" w:rsidRDefault="00727498" w:rsidP="00E01329">
      <w:pPr>
        <w:pStyle w:val="NormalWeb"/>
        <w:shd w:val="clear" w:color="auto" w:fill="FFFFFF"/>
        <w:spacing w:after="240"/>
        <w:jc w:val="both"/>
        <w:rPr>
          <w:color w:val="1C1D1E"/>
          <w:sz w:val="20"/>
        </w:rPr>
      </w:pPr>
      <w:r w:rsidRPr="00727498">
        <w:rPr>
          <w:color w:val="1C1D1E"/>
          <w:sz w:val="20"/>
          <w:lang w:val="en-US"/>
        </w:rPr>
        <w:t>Alinsod RM. Temperature controlled radiofrequency for vulvovaginal laxity. PRIME 2015;3(4):16-21.</w:t>
      </w:r>
    </w:p>
    <w:p w:rsidR="00AE504E" w:rsidRDefault="00727498" w:rsidP="00E01329">
      <w:pPr>
        <w:pStyle w:val="NormalWeb"/>
        <w:shd w:val="clear" w:color="auto" w:fill="FFFFFF"/>
        <w:spacing w:after="240"/>
        <w:jc w:val="both"/>
        <w:rPr>
          <w:color w:val="1C1D1E"/>
          <w:sz w:val="20"/>
          <w:lang w:val="en-US"/>
        </w:rPr>
      </w:pPr>
      <w:r w:rsidRPr="00727498">
        <w:rPr>
          <w:color w:val="1C1D1E"/>
          <w:sz w:val="20"/>
          <w:lang w:val="en-US"/>
        </w:rPr>
        <w:t>Millheiser LS, Pauls RN, Herbst SJ, Chen BH. Radiofrequency treatment of vaginal laxity after vaginal delivery: nonsurgical vaginal tightening. J Sex Med 2010;7(9):3088-95.</w:t>
      </w:r>
    </w:p>
    <w:p w:rsidR="00E01329" w:rsidRDefault="00E01329" w:rsidP="00727498">
      <w:pPr>
        <w:pStyle w:val="NormalWeb"/>
        <w:shd w:val="clear" w:color="auto" w:fill="FFFFFF"/>
        <w:spacing w:after="240"/>
        <w:rPr>
          <w:b/>
          <w:color w:val="1C1D1E"/>
          <w:lang w:val="en-US"/>
        </w:rPr>
      </w:pPr>
      <w:r w:rsidRPr="00E01329">
        <w:rPr>
          <w:b/>
          <w:color w:val="1C1D1E"/>
          <w:lang w:val="en-US"/>
        </w:rPr>
        <w:lastRenderedPageBreak/>
        <w:t>Acknowledgement</w:t>
      </w:r>
    </w:p>
    <w:p w:rsidR="00E01329" w:rsidRPr="00E01329" w:rsidRDefault="00E01329" w:rsidP="00E01329">
      <w:pPr>
        <w:pStyle w:val="NormalWeb"/>
        <w:shd w:val="clear" w:color="auto" w:fill="FFFFFF"/>
        <w:spacing w:after="240"/>
        <w:jc w:val="both"/>
        <w:rPr>
          <w:color w:val="1C1D1E"/>
          <w:lang w:val="en-US"/>
        </w:rPr>
      </w:pPr>
      <w:r>
        <w:rPr>
          <w:color w:val="1C1D1E"/>
          <w:lang w:val="en-US"/>
        </w:rPr>
        <w:t>All the authors contributed equally in the study. I would specially like to thank my mentor Dr. Vineet Mishra for guiding me and Dr. Red Alinsod for his constant guidance from overseas.</w:t>
      </w:r>
    </w:p>
    <w:p w:rsidR="008407BD" w:rsidRPr="00AE504E" w:rsidRDefault="008407BD" w:rsidP="00AE504E">
      <w:pPr>
        <w:jc w:val="center"/>
        <w:rPr>
          <w:rFonts w:ascii="Arial Black" w:hAnsi="Arial Black"/>
          <w:sz w:val="28"/>
        </w:rPr>
      </w:pPr>
    </w:p>
    <w:sectPr w:rsidR="008407BD" w:rsidRPr="00AE50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FB" w:rsidRDefault="003B66FB" w:rsidP="00727498">
      <w:pPr>
        <w:spacing w:after="0" w:line="240" w:lineRule="auto"/>
      </w:pPr>
      <w:r>
        <w:separator/>
      </w:r>
    </w:p>
  </w:endnote>
  <w:endnote w:type="continuationSeparator" w:id="0">
    <w:p w:rsidR="003B66FB" w:rsidRDefault="003B66FB" w:rsidP="0072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FB" w:rsidRDefault="003B66FB" w:rsidP="00727498">
      <w:pPr>
        <w:spacing w:after="0" w:line="240" w:lineRule="auto"/>
      </w:pPr>
      <w:r>
        <w:separator/>
      </w:r>
    </w:p>
  </w:footnote>
  <w:footnote w:type="continuationSeparator" w:id="0">
    <w:p w:rsidR="003B66FB" w:rsidRDefault="003B66FB" w:rsidP="00727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406CD"/>
    <w:multiLevelType w:val="hybridMultilevel"/>
    <w:tmpl w:val="41023C82"/>
    <w:lvl w:ilvl="0" w:tplc="AB42B1F6">
      <w:start w:val="1"/>
      <w:numFmt w:val="bullet"/>
      <w:lvlText w:val="•"/>
      <w:lvlJc w:val="left"/>
      <w:pPr>
        <w:tabs>
          <w:tab w:val="num" w:pos="720"/>
        </w:tabs>
        <w:ind w:left="720" w:hanging="360"/>
      </w:pPr>
      <w:rPr>
        <w:rFonts w:ascii="Arial" w:hAnsi="Arial" w:hint="default"/>
      </w:rPr>
    </w:lvl>
    <w:lvl w:ilvl="1" w:tplc="AE7C6D1A" w:tentative="1">
      <w:start w:val="1"/>
      <w:numFmt w:val="bullet"/>
      <w:lvlText w:val="•"/>
      <w:lvlJc w:val="left"/>
      <w:pPr>
        <w:tabs>
          <w:tab w:val="num" w:pos="1440"/>
        </w:tabs>
        <w:ind w:left="1440" w:hanging="360"/>
      </w:pPr>
      <w:rPr>
        <w:rFonts w:ascii="Arial" w:hAnsi="Arial" w:hint="default"/>
      </w:rPr>
    </w:lvl>
    <w:lvl w:ilvl="2" w:tplc="1F92A8EC" w:tentative="1">
      <w:start w:val="1"/>
      <w:numFmt w:val="bullet"/>
      <w:lvlText w:val="•"/>
      <w:lvlJc w:val="left"/>
      <w:pPr>
        <w:tabs>
          <w:tab w:val="num" w:pos="2160"/>
        </w:tabs>
        <w:ind w:left="2160" w:hanging="360"/>
      </w:pPr>
      <w:rPr>
        <w:rFonts w:ascii="Arial" w:hAnsi="Arial" w:hint="default"/>
      </w:rPr>
    </w:lvl>
    <w:lvl w:ilvl="3" w:tplc="F66AC45A" w:tentative="1">
      <w:start w:val="1"/>
      <w:numFmt w:val="bullet"/>
      <w:lvlText w:val="•"/>
      <w:lvlJc w:val="left"/>
      <w:pPr>
        <w:tabs>
          <w:tab w:val="num" w:pos="2880"/>
        </w:tabs>
        <w:ind w:left="2880" w:hanging="360"/>
      </w:pPr>
      <w:rPr>
        <w:rFonts w:ascii="Arial" w:hAnsi="Arial" w:hint="default"/>
      </w:rPr>
    </w:lvl>
    <w:lvl w:ilvl="4" w:tplc="40E26DB6" w:tentative="1">
      <w:start w:val="1"/>
      <w:numFmt w:val="bullet"/>
      <w:lvlText w:val="•"/>
      <w:lvlJc w:val="left"/>
      <w:pPr>
        <w:tabs>
          <w:tab w:val="num" w:pos="3600"/>
        </w:tabs>
        <w:ind w:left="3600" w:hanging="360"/>
      </w:pPr>
      <w:rPr>
        <w:rFonts w:ascii="Arial" w:hAnsi="Arial" w:hint="default"/>
      </w:rPr>
    </w:lvl>
    <w:lvl w:ilvl="5" w:tplc="42400892" w:tentative="1">
      <w:start w:val="1"/>
      <w:numFmt w:val="bullet"/>
      <w:lvlText w:val="•"/>
      <w:lvlJc w:val="left"/>
      <w:pPr>
        <w:tabs>
          <w:tab w:val="num" w:pos="4320"/>
        </w:tabs>
        <w:ind w:left="4320" w:hanging="360"/>
      </w:pPr>
      <w:rPr>
        <w:rFonts w:ascii="Arial" w:hAnsi="Arial" w:hint="default"/>
      </w:rPr>
    </w:lvl>
    <w:lvl w:ilvl="6" w:tplc="12FCCB2E" w:tentative="1">
      <w:start w:val="1"/>
      <w:numFmt w:val="bullet"/>
      <w:lvlText w:val="•"/>
      <w:lvlJc w:val="left"/>
      <w:pPr>
        <w:tabs>
          <w:tab w:val="num" w:pos="5040"/>
        </w:tabs>
        <w:ind w:left="5040" w:hanging="360"/>
      </w:pPr>
      <w:rPr>
        <w:rFonts w:ascii="Arial" w:hAnsi="Arial" w:hint="default"/>
      </w:rPr>
    </w:lvl>
    <w:lvl w:ilvl="7" w:tplc="4B020CE2" w:tentative="1">
      <w:start w:val="1"/>
      <w:numFmt w:val="bullet"/>
      <w:lvlText w:val="•"/>
      <w:lvlJc w:val="left"/>
      <w:pPr>
        <w:tabs>
          <w:tab w:val="num" w:pos="5760"/>
        </w:tabs>
        <w:ind w:left="5760" w:hanging="360"/>
      </w:pPr>
      <w:rPr>
        <w:rFonts w:ascii="Arial" w:hAnsi="Arial" w:hint="default"/>
      </w:rPr>
    </w:lvl>
    <w:lvl w:ilvl="8" w:tplc="81B6C8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9F92344"/>
    <w:multiLevelType w:val="hybridMultilevel"/>
    <w:tmpl w:val="26D2C774"/>
    <w:lvl w:ilvl="0" w:tplc="1F1860B6">
      <w:start w:val="1"/>
      <w:numFmt w:val="bullet"/>
      <w:lvlText w:val="•"/>
      <w:lvlJc w:val="left"/>
      <w:pPr>
        <w:tabs>
          <w:tab w:val="num" w:pos="720"/>
        </w:tabs>
        <w:ind w:left="720" w:hanging="360"/>
      </w:pPr>
      <w:rPr>
        <w:rFonts w:ascii="Arial" w:hAnsi="Arial" w:hint="default"/>
      </w:rPr>
    </w:lvl>
    <w:lvl w:ilvl="1" w:tplc="BB30B67C" w:tentative="1">
      <w:start w:val="1"/>
      <w:numFmt w:val="bullet"/>
      <w:lvlText w:val="•"/>
      <w:lvlJc w:val="left"/>
      <w:pPr>
        <w:tabs>
          <w:tab w:val="num" w:pos="1440"/>
        </w:tabs>
        <w:ind w:left="1440" w:hanging="360"/>
      </w:pPr>
      <w:rPr>
        <w:rFonts w:ascii="Arial" w:hAnsi="Arial" w:hint="default"/>
      </w:rPr>
    </w:lvl>
    <w:lvl w:ilvl="2" w:tplc="49747362" w:tentative="1">
      <w:start w:val="1"/>
      <w:numFmt w:val="bullet"/>
      <w:lvlText w:val="•"/>
      <w:lvlJc w:val="left"/>
      <w:pPr>
        <w:tabs>
          <w:tab w:val="num" w:pos="2160"/>
        </w:tabs>
        <w:ind w:left="2160" w:hanging="360"/>
      </w:pPr>
      <w:rPr>
        <w:rFonts w:ascii="Arial" w:hAnsi="Arial" w:hint="default"/>
      </w:rPr>
    </w:lvl>
    <w:lvl w:ilvl="3" w:tplc="FF9C9D60" w:tentative="1">
      <w:start w:val="1"/>
      <w:numFmt w:val="bullet"/>
      <w:lvlText w:val="•"/>
      <w:lvlJc w:val="left"/>
      <w:pPr>
        <w:tabs>
          <w:tab w:val="num" w:pos="2880"/>
        </w:tabs>
        <w:ind w:left="2880" w:hanging="360"/>
      </w:pPr>
      <w:rPr>
        <w:rFonts w:ascii="Arial" w:hAnsi="Arial" w:hint="default"/>
      </w:rPr>
    </w:lvl>
    <w:lvl w:ilvl="4" w:tplc="1D7C6700" w:tentative="1">
      <w:start w:val="1"/>
      <w:numFmt w:val="bullet"/>
      <w:lvlText w:val="•"/>
      <w:lvlJc w:val="left"/>
      <w:pPr>
        <w:tabs>
          <w:tab w:val="num" w:pos="3600"/>
        </w:tabs>
        <w:ind w:left="3600" w:hanging="360"/>
      </w:pPr>
      <w:rPr>
        <w:rFonts w:ascii="Arial" w:hAnsi="Arial" w:hint="default"/>
      </w:rPr>
    </w:lvl>
    <w:lvl w:ilvl="5" w:tplc="E85838CE" w:tentative="1">
      <w:start w:val="1"/>
      <w:numFmt w:val="bullet"/>
      <w:lvlText w:val="•"/>
      <w:lvlJc w:val="left"/>
      <w:pPr>
        <w:tabs>
          <w:tab w:val="num" w:pos="4320"/>
        </w:tabs>
        <w:ind w:left="4320" w:hanging="360"/>
      </w:pPr>
      <w:rPr>
        <w:rFonts w:ascii="Arial" w:hAnsi="Arial" w:hint="default"/>
      </w:rPr>
    </w:lvl>
    <w:lvl w:ilvl="6" w:tplc="B142C522" w:tentative="1">
      <w:start w:val="1"/>
      <w:numFmt w:val="bullet"/>
      <w:lvlText w:val="•"/>
      <w:lvlJc w:val="left"/>
      <w:pPr>
        <w:tabs>
          <w:tab w:val="num" w:pos="5040"/>
        </w:tabs>
        <w:ind w:left="5040" w:hanging="360"/>
      </w:pPr>
      <w:rPr>
        <w:rFonts w:ascii="Arial" w:hAnsi="Arial" w:hint="default"/>
      </w:rPr>
    </w:lvl>
    <w:lvl w:ilvl="7" w:tplc="390E27D4" w:tentative="1">
      <w:start w:val="1"/>
      <w:numFmt w:val="bullet"/>
      <w:lvlText w:val="•"/>
      <w:lvlJc w:val="left"/>
      <w:pPr>
        <w:tabs>
          <w:tab w:val="num" w:pos="5760"/>
        </w:tabs>
        <w:ind w:left="5760" w:hanging="360"/>
      </w:pPr>
      <w:rPr>
        <w:rFonts w:ascii="Arial" w:hAnsi="Arial" w:hint="default"/>
      </w:rPr>
    </w:lvl>
    <w:lvl w:ilvl="8" w:tplc="55BEB0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4E"/>
    <w:rsid w:val="00027B85"/>
    <w:rsid w:val="000B20A8"/>
    <w:rsid w:val="003B66FB"/>
    <w:rsid w:val="00456606"/>
    <w:rsid w:val="00727498"/>
    <w:rsid w:val="008407BD"/>
    <w:rsid w:val="00AE504E"/>
    <w:rsid w:val="00C4600B"/>
    <w:rsid w:val="00D16683"/>
    <w:rsid w:val="00E01329"/>
    <w:rsid w:val="00F030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40F96-9C40-42F8-826E-546F788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04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E504E"/>
    <w:pPr>
      <w:spacing w:after="0" w:line="240" w:lineRule="auto"/>
      <w:ind w:left="720"/>
      <w:contextualSpacing/>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27498"/>
    <w:rPr>
      <w:color w:val="0563C1" w:themeColor="hyperlink"/>
      <w:u w:val="single"/>
    </w:rPr>
  </w:style>
  <w:style w:type="paragraph" w:styleId="Header">
    <w:name w:val="header"/>
    <w:basedOn w:val="Normal"/>
    <w:link w:val="HeaderChar"/>
    <w:uiPriority w:val="99"/>
    <w:unhideWhenUsed/>
    <w:rsid w:val="00727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498"/>
  </w:style>
  <w:style w:type="paragraph" w:styleId="Footer">
    <w:name w:val="footer"/>
    <w:basedOn w:val="Normal"/>
    <w:link w:val="FooterChar"/>
    <w:uiPriority w:val="99"/>
    <w:unhideWhenUsed/>
    <w:rsid w:val="00727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2532">
      <w:bodyDiv w:val="1"/>
      <w:marLeft w:val="0"/>
      <w:marRight w:val="0"/>
      <w:marTop w:val="0"/>
      <w:marBottom w:val="0"/>
      <w:divBdr>
        <w:top w:val="none" w:sz="0" w:space="0" w:color="auto"/>
        <w:left w:val="none" w:sz="0" w:space="0" w:color="auto"/>
        <w:bottom w:val="none" w:sz="0" w:space="0" w:color="auto"/>
        <w:right w:val="none" w:sz="0" w:space="0" w:color="auto"/>
      </w:divBdr>
    </w:div>
    <w:div w:id="730008934">
      <w:bodyDiv w:val="1"/>
      <w:marLeft w:val="0"/>
      <w:marRight w:val="0"/>
      <w:marTop w:val="0"/>
      <w:marBottom w:val="0"/>
      <w:divBdr>
        <w:top w:val="none" w:sz="0" w:space="0" w:color="auto"/>
        <w:left w:val="none" w:sz="0" w:space="0" w:color="auto"/>
        <w:bottom w:val="none" w:sz="0" w:space="0" w:color="auto"/>
        <w:right w:val="none" w:sz="0" w:space="0" w:color="auto"/>
      </w:divBdr>
    </w:div>
    <w:div w:id="1038120887">
      <w:bodyDiv w:val="1"/>
      <w:marLeft w:val="0"/>
      <w:marRight w:val="0"/>
      <w:marTop w:val="0"/>
      <w:marBottom w:val="0"/>
      <w:divBdr>
        <w:top w:val="none" w:sz="0" w:space="0" w:color="auto"/>
        <w:left w:val="none" w:sz="0" w:space="0" w:color="auto"/>
        <w:bottom w:val="none" w:sz="0" w:space="0" w:color="auto"/>
        <w:right w:val="none" w:sz="0" w:space="0" w:color="auto"/>
      </w:divBdr>
      <w:divsChild>
        <w:div w:id="8991931">
          <w:marLeft w:val="907"/>
          <w:marRight w:val="0"/>
          <w:marTop w:val="456"/>
          <w:marBottom w:val="0"/>
          <w:divBdr>
            <w:top w:val="none" w:sz="0" w:space="0" w:color="auto"/>
            <w:left w:val="none" w:sz="0" w:space="0" w:color="auto"/>
            <w:bottom w:val="none" w:sz="0" w:space="0" w:color="auto"/>
            <w:right w:val="none" w:sz="0" w:space="0" w:color="auto"/>
          </w:divBdr>
        </w:div>
        <w:div w:id="132211441">
          <w:marLeft w:val="907"/>
          <w:marRight w:val="0"/>
          <w:marTop w:val="456"/>
          <w:marBottom w:val="0"/>
          <w:divBdr>
            <w:top w:val="none" w:sz="0" w:space="0" w:color="auto"/>
            <w:left w:val="none" w:sz="0" w:space="0" w:color="auto"/>
            <w:bottom w:val="none" w:sz="0" w:space="0" w:color="auto"/>
            <w:right w:val="none" w:sz="0" w:space="0" w:color="auto"/>
          </w:divBdr>
        </w:div>
        <w:div w:id="1588810566">
          <w:marLeft w:val="907"/>
          <w:marRight w:val="0"/>
          <w:marTop w:val="456"/>
          <w:marBottom w:val="0"/>
          <w:divBdr>
            <w:top w:val="none" w:sz="0" w:space="0" w:color="auto"/>
            <w:left w:val="none" w:sz="0" w:space="0" w:color="auto"/>
            <w:bottom w:val="none" w:sz="0" w:space="0" w:color="auto"/>
            <w:right w:val="none" w:sz="0" w:space="0" w:color="auto"/>
          </w:divBdr>
        </w:div>
        <w:div w:id="556361375">
          <w:marLeft w:val="907"/>
          <w:marRight w:val="0"/>
          <w:marTop w:val="456"/>
          <w:marBottom w:val="0"/>
          <w:divBdr>
            <w:top w:val="none" w:sz="0" w:space="0" w:color="auto"/>
            <w:left w:val="none" w:sz="0" w:space="0" w:color="auto"/>
            <w:bottom w:val="none" w:sz="0" w:space="0" w:color="auto"/>
            <w:right w:val="none" w:sz="0" w:space="0" w:color="auto"/>
          </w:divBdr>
        </w:div>
        <w:div w:id="1877544859">
          <w:marLeft w:val="907"/>
          <w:marRight w:val="0"/>
          <w:marTop w:val="456"/>
          <w:marBottom w:val="0"/>
          <w:divBdr>
            <w:top w:val="none" w:sz="0" w:space="0" w:color="auto"/>
            <w:left w:val="none" w:sz="0" w:space="0" w:color="auto"/>
            <w:bottom w:val="none" w:sz="0" w:space="0" w:color="auto"/>
            <w:right w:val="none" w:sz="0" w:space="0" w:color="auto"/>
          </w:divBdr>
        </w:div>
      </w:divsChild>
    </w:div>
    <w:div w:id="1063871345">
      <w:bodyDiv w:val="1"/>
      <w:marLeft w:val="0"/>
      <w:marRight w:val="0"/>
      <w:marTop w:val="0"/>
      <w:marBottom w:val="0"/>
      <w:divBdr>
        <w:top w:val="none" w:sz="0" w:space="0" w:color="auto"/>
        <w:left w:val="none" w:sz="0" w:space="0" w:color="auto"/>
        <w:bottom w:val="none" w:sz="0" w:space="0" w:color="auto"/>
        <w:right w:val="none" w:sz="0" w:space="0" w:color="auto"/>
      </w:divBdr>
      <w:divsChild>
        <w:div w:id="2112162371">
          <w:marLeft w:val="720"/>
          <w:marRight w:val="0"/>
          <w:marTop w:val="0"/>
          <w:marBottom w:val="0"/>
          <w:divBdr>
            <w:top w:val="none" w:sz="0" w:space="0" w:color="auto"/>
            <w:left w:val="none" w:sz="0" w:space="0" w:color="auto"/>
            <w:bottom w:val="none" w:sz="0" w:space="0" w:color="auto"/>
            <w:right w:val="none" w:sz="0" w:space="0" w:color="auto"/>
          </w:divBdr>
        </w:div>
        <w:div w:id="1101798125">
          <w:marLeft w:val="720"/>
          <w:marRight w:val="0"/>
          <w:marTop w:val="0"/>
          <w:marBottom w:val="0"/>
          <w:divBdr>
            <w:top w:val="none" w:sz="0" w:space="0" w:color="auto"/>
            <w:left w:val="none" w:sz="0" w:space="0" w:color="auto"/>
            <w:bottom w:val="none" w:sz="0" w:space="0" w:color="auto"/>
            <w:right w:val="none" w:sz="0" w:space="0" w:color="auto"/>
          </w:divBdr>
        </w:div>
        <w:div w:id="1244293968">
          <w:marLeft w:val="720"/>
          <w:marRight w:val="0"/>
          <w:marTop w:val="0"/>
          <w:marBottom w:val="0"/>
          <w:divBdr>
            <w:top w:val="none" w:sz="0" w:space="0" w:color="auto"/>
            <w:left w:val="none" w:sz="0" w:space="0" w:color="auto"/>
            <w:bottom w:val="none" w:sz="0" w:space="0" w:color="auto"/>
            <w:right w:val="none" w:sz="0" w:space="0" w:color="auto"/>
          </w:divBdr>
        </w:div>
        <w:div w:id="1126699593">
          <w:marLeft w:val="720"/>
          <w:marRight w:val="0"/>
          <w:marTop w:val="0"/>
          <w:marBottom w:val="0"/>
          <w:divBdr>
            <w:top w:val="none" w:sz="0" w:space="0" w:color="auto"/>
            <w:left w:val="none" w:sz="0" w:space="0" w:color="auto"/>
            <w:bottom w:val="none" w:sz="0" w:space="0" w:color="auto"/>
            <w:right w:val="none" w:sz="0" w:space="0" w:color="auto"/>
          </w:divBdr>
        </w:div>
        <w:div w:id="1820341855">
          <w:marLeft w:val="720"/>
          <w:marRight w:val="0"/>
          <w:marTop w:val="0"/>
          <w:marBottom w:val="0"/>
          <w:divBdr>
            <w:top w:val="none" w:sz="0" w:space="0" w:color="auto"/>
            <w:left w:val="none" w:sz="0" w:space="0" w:color="auto"/>
            <w:bottom w:val="none" w:sz="0" w:space="0" w:color="auto"/>
            <w:right w:val="none" w:sz="0" w:space="0" w:color="auto"/>
          </w:divBdr>
        </w:div>
        <w:div w:id="368603419">
          <w:marLeft w:val="720"/>
          <w:marRight w:val="0"/>
          <w:marTop w:val="0"/>
          <w:marBottom w:val="0"/>
          <w:divBdr>
            <w:top w:val="none" w:sz="0" w:space="0" w:color="auto"/>
            <w:left w:val="none" w:sz="0" w:space="0" w:color="auto"/>
            <w:bottom w:val="none" w:sz="0" w:space="0" w:color="auto"/>
            <w:right w:val="none" w:sz="0" w:space="0" w:color="auto"/>
          </w:divBdr>
        </w:div>
      </w:divsChild>
    </w:div>
    <w:div w:id="1260329332">
      <w:bodyDiv w:val="1"/>
      <w:marLeft w:val="0"/>
      <w:marRight w:val="0"/>
      <w:marTop w:val="0"/>
      <w:marBottom w:val="0"/>
      <w:divBdr>
        <w:top w:val="none" w:sz="0" w:space="0" w:color="auto"/>
        <w:left w:val="none" w:sz="0" w:space="0" w:color="auto"/>
        <w:bottom w:val="none" w:sz="0" w:space="0" w:color="auto"/>
        <w:right w:val="none" w:sz="0" w:space="0" w:color="auto"/>
      </w:divBdr>
    </w:div>
    <w:div w:id="1292246130">
      <w:bodyDiv w:val="1"/>
      <w:marLeft w:val="0"/>
      <w:marRight w:val="0"/>
      <w:marTop w:val="0"/>
      <w:marBottom w:val="0"/>
      <w:divBdr>
        <w:top w:val="none" w:sz="0" w:space="0" w:color="auto"/>
        <w:left w:val="none" w:sz="0" w:space="0" w:color="auto"/>
        <w:bottom w:val="none" w:sz="0" w:space="0" w:color="auto"/>
        <w:right w:val="none" w:sz="0" w:space="0" w:color="auto"/>
      </w:divBdr>
    </w:div>
    <w:div w:id="13347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Mulholland%20RS%5bAuthor%5d&amp;cauthor=true&amp;cauthor_uid=21824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2023-07-04T21:15:00Z</dcterms:created>
  <dcterms:modified xsi:type="dcterms:W3CDTF">2023-07-04T21:43:00Z</dcterms:modified>
</cp:coreProperties>
</file>